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C7D" w:rsidRPr="00C31C7D" w:rsidRDefault="00C31C7D" w:rsidP="00E61D92">
      <w:pPr>
        <w:rPr>
          <w:b/>
          <w:u w:val="single"/>
        </w:rPr>
      </w:pPr>
      <w:r>
        <w:rPr>
          <w:b/>
          <w:u w:val="single"/>
        </w:rPr>
        <w:t>Macroeconomics</w:t>
      </w:r>
    </w:p>
    <w:p w:rsidR="00E61D92" w:rsidRDefault="00E61D92" w:rsidP="00BF647F">
      <w:pPr>
        <w:pStyle w:val="ListParagraph"/>
        <w:numPr>
          <w:ilvl w:val="0"/>
          <w:numId w:val="1"/>
        </w:numPr>
      </w:pPr>
      <w:r>
        <w:t>Gross Domestic Product (GDP)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Unemployment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Consumer Price Index (CPI)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Inflation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Stagflation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Aggregate Demand (AD)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Aggregate Supply (AS)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Economic Growth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Price Indexes (Indices)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Structural Unemployment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Cyclical Unemployment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Frictional Unemployment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Labor Force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Unemployment Rate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Business Cycle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Recession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Depression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 xml:space="preserve">Peak 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Trough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Expansion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 xml:space="preserve">Contraction 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Recovery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Budget Deficit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Budget Surplus</w:t>
      </w:r>
    </w:p>
    <w:p w:rsidR="00E61D92" w:rsidRDefault="00E61D92" w:rsidP="00E61D92">
      <w:pPr>
        <w:pStyle w:val="ListParagraph"/>
        <w:numPr>
          <w:ilvl w:val="0"/>
          <w:numId w:val="1"/>
        </w:numPr>
      </w:pPr>
      <w:r>
        <w:t>National Debt</w:t>
      </w:r>
    </w:p>
    <w:p w:rsidR="00E61D92" w:rsidRDefault="00C31C7D" w:rsidP="00E61D92">
      <w:pPr>
        <w:pStyle w:val="ListParagraph"/>
        <w:numPr>
          <w:ilvl w:val="0"/>
          <w:numId w:val="1"/>
        </w:numPr>
      </w:pPr>
      <w:r>
        <w:t>Federal Reserve System (The Fed)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Monetary Policy Goals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Monetary Policy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Expansionary (</w:t>
      </w:r>
      <w:proofErr w:type="spellStart"/>
      <w:r>
        <w:t>loose</w:t>
      </w:r>
      <w:proofErr w:type="spellEnd"/>
      <w:r>
        <w:t xml:space="preserve"> money) Policy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Contractionary (tight money) Policy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Money Supply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Stimulate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Fiscal Policy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Taxes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Economic Indicators</w:t>
      </w:r>
    </w:p>
    <w:p w:rsidR="00C31C7D" w:rsidRDefault="00C31C7D" w:rsidP="00E61D92">
      <w:pPr>
        <w:pStyle w:val="ListParagraph"/>
        <w:numPr>
          <w:ilvl w:val="0"/>
          <w:numId w:val="1"/>
        </w:numPr>
      </w:pPr>
      <w:r>
        <w:t>Transfer Payments</w:t>
      </w:r>
    </w:p>
    <w:p w:rsidR="00C31C7D" w:rsidRDefault="00C31C7D" w:rsidP="00C31C7D"/>
    <w:p w:rsidR="00C31C7D" w:rsidRDefault="00C31C7D" w:rsidP="00C31C7D"/>
    <w:p w:rsidR="00BF647F" w:rsidRDefault="00BF647F" w:rsidP="00C31C7D"/>
    <w:p w:rsidR="00BF647F" w:rsidRDefault="00BF647F" w:rsidP="00C31C7D">
      <w:bookmarkStart w:id="0" w:name="_GoBack"/>
      <w:bookmarkEnd w:id="0"/>
    </w:p>
    <w:p w:rsidR="00C31C7D" w:rsidRDefault="00C31C7D" w:rsidP="00C31C7D">
      <w:r>
        <w:rPr>
          <w:b/>
          <w:u w:val="single"/>
        </w:rPr>
        <w:lastRenderedPageBreak/>
        <w:t>International Economics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Absolute Advantage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Comparative Advantage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Balance of Trade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Balance of Payments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Trade Barriers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Tariffs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Quotas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Embargoes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Standards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Subsidies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European Union (EU)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North American Free Trade Association (NAFTA)</w:t>
      </w:r>
    </w:p>
    <w:p w:rsidR="00C31C7D" w:rsidRDefault="00C31C7D" w:rsidP="00C31C7D">
      <w:pPr>
        <w:pStyle w:val="ListParagraph"/>
        <w:numPr>
          <w:ilvl w:val="0"/>
          <w:numId w:val="1"/>
        </w:numPr>
      </w:pPr>
      <w:r>
        <w:t>Association of Southeast Asian Nations (ASEAN)</w:t>
      </w:r>
    </w:p>
    <w:p w:rsidR="00C31C7D" w:rsidRPr="00C31C7D" w:rsidRDefault="00C31C7D" w:rsidP="00C31C7D">
      <w:pPr>
        <w:pStyle w:val="ListParagraph"/>
        <w:numPr>
          <w:ilvl w:val="0"/>
          <w:numId w:val="1"/>
        </w:numPr>
      </w:pPr>
      <w:r>
        <w:t>Exchange Rate</w:t>
      </w:r>
    </w:p>
    <w:sectPr w:rsidR="00C31C7D" w:rsidRPr="00C31C7D" w:rsidSect="00E61D92">
      <w:headerReference w:type="default" r:id="rId7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D92" w:rsidRDefault="00E61D92" w:rsidP="00E61D92">
      <w:pPr>
        <w:spacing w:after="0" w:line="240" w:lineRule="auto"/>
      </w:pPr>
      <w:r>
        <w:separator/>
      </w:r>
    </w:p>
  </w:endnote>
  <w:endnote w:type="continuationSeparator" w:id="0">
    <w:p w:rsidR="00E61D92" w:rsidRDefault="00E61D92" w:rsidP="00E6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D92" w:rsidRDefault="00E61D92" w:rsidP="00E61D92">
      <w:pPr>
        <w:spacing w:after="0" w:line="240" w:lineRule="auto"/>
      </w:pPr>
      <w:r>
        <w:separator/>
      </w:r>
    </w:p>
  </w:footnote>
  <w:footnote w:type="continuationSeparator" w:id="0">
    <w:p w:rsidR="00E61D92" w:rsidRDefault="00E61D92" w:rsidP="00E6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D92" w:rsidRDefault="00E61D92">
    <w:pPr>
      <w:pStyle w:val="Header"/>
    </w:pPr>
    <w:r>
      <w:ptab w:relativeTo="margin" w:alignment="center" w:leader="none"/>
    </w:r>
    <w:r>
      <w:t>Benchmark 3 Vocabulary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BF6A3E"/>
    <w:multiLevelType w:val="hybridMultilevel"/>
    <w:tmpl w:val="02BE9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92"/>
    <w:rsid w:val="004B6A34"/>
    <w:rsid w:val="008520DE"/>
    <w:rsid w:val="00860CB8"/>
    <w:rsid w:val="00BF647F"/>
    <w:rsid w:val="00C31C7D"/>
    <w:rsid w:val="00E61D92"/>
    <w:rsid w:val="00F2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3D79D6-4F7F-4170-82CF-AE513C59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D92"/>
  </w:style>
  <w:style w:type="paragraph" w:styleId="Footer">
    <w:name w:val="footer"/>
    <w:basedOn w:val="Normal"/>
    <w:link w:val="FooterChar"/>
    <w:uiPriority w:val="99"/>
    <w:unhideWhenUsed/>
    <w:rsid w:val="00E6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D92"/>
  </w:style>
  <w:style w:type="paragraph" w:styleId="BalloonText">
    <w:name w:val="Balloon Text"/>
    <w:basedOn w:val="Normal"/>
    <w:link w:val="BalloonTextChar"/>
    <w:uiPriority w:val="99"/>
    <w:semiHidden/>
    <w:unhideWhenUsed/>
    <w:rsid w:val="00E6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D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1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2</cp:revision>
  <cp:lastPrinted>2015-12-22T15:20:00Z</cp:lastPrinted>
  <dcterms:created xsi:type="dcterms:W3CDTF">2015-12-22T15:02:00Z</dcterms:created>
  <dcterms:modified xsi:type="dcterms:W3CDTF">2016-01-01T15:06:00Z</dcterms:modified>
</cp:coreProperties>
</file>